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DF76C3" w:rsidRDefault="00EF7313" w:rsidP="00DF76C3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DF76C3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DF76C3" w:rsidRPr="00DF76C3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DF76C3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DF76C3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DF76C3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DF76C3" w:rsidRDefault="00DF76C3" w:rsidP="00DF76C3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DF76C3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CB786B" w:rsidRPr="00DF76C3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9C16F5" w:rsidRPr="00DF76C3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CB786B" w:rsidRPr="00DF76C3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DF76C3" w:rsidRPr="00DF76C3" w:rsidRDefault="00DF76C3" w:rsidP="00DF76C3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color w:val="0070C0"/>
          <w:sz w:val="20"/>
          <w:szCs w:val="20"/>
        </w:rPr>
        <w:t>2.7.3</w:t>
      </w:r>
      <w:r w:rsidRPr="00DF76C3">
        <w:rPr>
          <w:rFonts w:ascii="Times New Roman" w:hAnsi="Times New Roman" w:cs="Times New Roman"/>
          <w:b/>
          <w:color w:val="0070C0"/>
          <w:sz w:val="20"/>
          <w:szCs w:val="20"/>
        </w:rPr>
        <w:tab/>
        <w:t>Probleemstellend leren</w:t>
      </w:r>
    </w:p>
    <w:p w:rsidR="009B6885" w:rsidRPr="00DF76C3" w:rsidRDefault="00DF76C3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DF76C3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3E9E" w:rsidRPr="00DF76C3" w:rsidRDefault="00C43622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76C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Probleemstellende </w:t>
      </w:r>
      <w:r w:rsidR="004F3E9E" w:rsidRPr="00DF76C3">
        <w:rPr>
          <w:rFonts w:ascii="Times New Roman" w:hAnsi="Times New Roman" w:cs="Times New Roman"/>
          <w:b/>
          <w:color w:val="0070C0"/>
          <w:sz w:val="28"/>
          <w:szCs w:val="28"/>
        </w:rPr>
        <w:t>benadering</w:t>
      </w:r>
    </w:p>
    <w:p w:rsidR="004F3E9E" w:rsidRPr="00DF76C3" w:rsidRDefault="004F3E9E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4F3E9E" w:rsidRPr="00DF76C3" w:rsidRDefault="004F3E9E" w:rsidP="004F3E9E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sz w:val="20"/>
          <w:szCs w:val="20"/>
        </w:rPr>
        <w:t>1</w:t>
      </w:r>
      <w:r w:rsidRPr="00DF76C3">
        <w:rPr>
          <w:rFonts w:ascii="Times New Roman" w:hAnsi="Times New Roman" w:cs="Times New Roman"/>
          <w:sz w:val="20"/>
          <w:szCs w:val="20"/>
        </w:rPr>
        <w:tab/>
      </w:r>
      <w:r w:rsidR="00767F45" w:rsidRPr="00DF76C3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4F3E9E" w:rsidRPr="00DF76C3" w:rsidRDefault="004F3E9E" w:rsidP="004F3E9E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ab/>
        <w:t>Lees paragraaf 2.7</w:t>
      </w:r>
      <w:r w:rsidR="00A6010E" w:rsidRPr="00DF76C3">
        <w:rPr>
          <w:rFonts w:ascii="Times New Roman" w:hAnsi="Times New Roman" w:cs="Times New Roman"/>
          <w:sz w:val="20"/>
          <w:szCs w:val="20"/>
        </w:rPr>
        <w:t>.3</w:t>
      </w:r>
      <w:r w:rsidRPr="00DF76C3">
        <w:rPr>
          <w:rFonts w:ascii="Times New Roman" w:hAnsi="Times New Roman" w:cs="Times New Roman"/>
          <w:sz w:val="20"/>
          <w:szCs w:val="20"/>
        </w:rPr>
        <w:t xml:space="preserve"> over </w:t>
      </w:r>
      <w:r w:rsidR="00AF15DE" w:rsidRPr="00DF76C3">
        <w:rPr>
          <w:rFonts w:ascii="Times New Roman" w:hAnsi="Times New Roman" w:cs="Times New Roman"/>
          <w:sz w:val="20"/>
          <w:szCs w:val="20"/>
        </w:rPr>
        <w:t xml:space="preserve">probleemstellend </w:t>
      </w:r>
      <w:r w:rsidR="00DF76C3">
        <w:rPr>
          <w:rFonts w:ascii="Times New Roman" w:hAnsi="Times New Roman" w:cs="Times New Roman"/>
          <w:sz w:val="20"/>
          <w:szCs w:val="20"/>
        </w:rPr>
        <w:t>leren</w:t>
      </w:r>
      <w:r w:rsidR="00A6010E" w:rsidRPr="00DF76C3">
        <w:rPr>
          <w:rFonts w:ascii="Times New Roman" w:hAnsi="Times New Roman" w:cs="Times New Roman"/>
          <w:sz w:val="20"/>
          <w:szCs w:val="20"/>
        </w:rPr>
        <w:t xml:space="preserve"> in het handboek en daarna het stuk over </w:t>
      </w:r>
      <w:proofErr w:type="spellStart"/>
      <w:r w:rsidR="00A6010E" w:rsidRPr="00DF76C3">
        <w:rPr>
          <w:rFonts w:ascii="Times New Roman" w:hAnsi="Times New Roman" w:cs="Times New Roman"/>
          <w:sz w:val="20"/>
          <w:szCs w:val="20"/>
        </w:rPr>
        <w:t>probleemgeoriënteerd</w:t>
      </w:r>
      <w:proofErr w:type="spellEnd"/>
      <w:r w:rsidR="00A6010E" w:rsidRPr="00DF76C3">
        <w:rPr>
          <w:rFonts w:ascii="Times New Roman" w:hAnsi="Times New Roman" w:cs="Times New Roman"/>
          <w:sz w:val="20"/>
          <w:szCs w:val="20"/>
        </w:rPr>
        <w:t xml:space="preserve"> </w:t>
      </w:r>
      <w:r w:rsidR="00DF76C3">
        <w:rPr>
          <w:rFonts w:ascii="Times New Roman" w:hAnsi="Times New Roman" w:cs="Times New Roman"/>
          <w:sz w:val="20"/>
          <w:szCs w:val="20"/>
        </w:rPr>
        <w:t>leren</w:t>
      </w:r>
      <w:r w:rsidR="00A6010E" w:rsidRPr="00DF76C3">
        <w:rPr>
          <w:rFonts w:ascii="Times New Roman" w:hAnsi="Times New Roman" w:cs="Times New Roman"/>
          <w:sz w:val="20"/>
          <w:szCs w:val="20"/>
        </w:rPr>
        <w:t xml:space="preserve"> op de handboekwebsite bij deze paragraaf</w:t>
      </w:r>
      <w:r w:rsidRPr="00DF76C3">
        <w:rPr>
          <w:rFonts w:ascii="Times New Roman" w:hAnsi="Times New Roman" w:cs="Times New Roman"/>
          <w:sz w:val="20"/>
          <w:szCs w:val="20"/>
        </w:rPr>
        <w:t>.</w:t>
      </w:r>
      <w:r w:rsidR="00767F45" w:rsidRPr="00DF76C3">
        <w:rPr>
          <w:rFonts w:ascii="Times New Roman" w:hAnsi="Times New Roman" w:cs="Times New Roman"/>
          <w:sz w:val="20"/>
          <w:szCs w:val="20"/>
        </w:rPr>
        <w:t xml:space="preserve"> </w:t>
      </w:r>
      <w:r w:rsidR="00A6010E" w:rsidRPr="00DF76C3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A6010E" w:rsidRPr="00DF76C3">
        <w:rPr>
          <w:rFonts w:ascii="Times New Roman" w:hAnsi="Times New Roman" w:cs="Times New Roman"/>
          <w:sz w:val="20"/>
          <w:szCs w:val="20"/>
        </w:rPr>
        <w:t>probleem</w:t>
      </w:r>
      <w:r w:rsidR="00A6010E" w:rsidRPr="00DF76C3">
        <w:rPr>
          <w:rFonts w:ascii="Times New Roman" w:hAnsi="Times New Roman" w:cs="Times New Roman"/>
          <w:sz w:val="20"/>
          <w:szCs w:val="20"/>
        </w:rPr>
        <w:softHyphen/>
        <w:t>georiënteerde</w:t>
      </w:r>
      <w:proofErr w:type="spellEnd"/>
      <w:r w:rsidR="00A6010E" w:rsidRPr="00DF76C3">
        <w:rPr>
          <w:rFonts w:ascii="Times New Roman" w:hAnsi="Times New Roman" w:cs="Times New Roman"/>
          <w:sz w:val="20"/>
          <w:szCs w:val="20"/>
        </w:rPr>
        <w:t xml:space="preserve"> benadering is te zien als een laagdrem</w:t>
      </w:r>
      <w:r w:rsidR="00A72525">
        <w:rPr>
          <w:rFonts w:ascii="Times New Roman" w:hAnsi="Times New Roman" w:cs="Times New Roman"/>
          <w:sz w:val="20"/>
          <w:szCs w:val="20"/>
        </w:rPr>
        <w:softHyphen/>
      </w:r>
      <w:r w:rsidR="00A6010E" w:rsidRPr="00DF76C3">
        <w:rPr>
          <w:rFonts w:ascii="Times New Roman" w:hAnsi="Times New Roman" w:cs="Times New Roman"/>
          <w:sz w:val="20"/>
          <w:szCs w:val="20"/>
        </w:rPr>
        <w:t>pelige varia</w:t>
      </w:r>
      <w:bookmarkStart w:id="0" w:name="_GoBack"/>
      <w:bookmarkEnd w:id="0"/>
      <w:r w:rsidR="00A6010E" w:rsidRPr="00DF76C3">
        <w:rPr>
          <w:rFonts w:ascii="Times New Roman" w:hAnsi="Times New Roman" w:cs="Times New Roman"/>
          <w:sz w:val="20"/>
          <w:szCs w:val="20"/>
        </w:rPr>
        <w:t>nt van de probleemstellende benadering.</w:t>
      </w:r>
    </w:p>
    <w:p w:rsidR="00A6010E" w:rsidRPr="00DF76C3" w:rsidRDefault="00A6010E" w:rsidP="004F3E9E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ab/>
        <w:t>Analyseer het lesmateriaalvoorbeeld over elektriciteit in het stuk over de probleemgeoriënteerde benadering: wat zijn de sterke en de zwakke punten van dit voorbeeld?</w:t>
      </w:r>
    </w:p>
    <w:p w:rsidR="004F3E9E" w:rsidRPr="00DF76C3" w:rsidRDefault="004F3E9E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4F3E9E" w:rsidRPr="00DF76C3" w:rsidRDefault="004F3E9E" w:rsidP="004F3E9E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sz w:val="20"/>
          <w:szCs w:val="20"/>
        </w:rPr>
        <w:t>2</w:t>
      </w:r>
      <w:r w:rsidRPr="00DF76C3">
        <w:rPr>
          <w:rFonts w:ascii="Times New Roman" w:hAnsi="Times New Roman" w:cs="Times New Roman"/>
          <w:b/>
          <w:sz w:val="20"/>
          <w:szCs w:val="20"/>
        </w:rPr>
        <w:tab/>
      </w:r>
      <w:r w:rsidRPr="00DF76C3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4F3E9E" w:rsidRPr="00DF76C3" w:rsidRDefault="004F3E9E" w:rsidP="004F3E9E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ab/>
        <w:t xml:space="preserve">Kies een (willekeurig) hoofdstuk uit </w:t>
      </w:r>
      <w:r w:rsidR="000929E9" w:rsidRPr="00DF76C3">
        <w:rPr>
          <w:rFonts w:ascii="Times New Roman" w:hAnsi="Times New Roman" w:cs="Times New Roman"/>
          <w:sz w:val="20"/>
          <w:szCs w:val="20"/>
        </w:rPr>
        <w:t xml:space="preserve">het leerboek dat </w:t>
      </w:r>
      <w:r w:rsidRPr="00DF76C3">
        <w:rPr>
          <w:rFonts w:ascii="Times New Roman" w:hAnsi="Times New Roman" w:cs="Times New Roman"/>
          <w:sz w:val="20"/>
          <w:szCs w:val="20"/>
        </w:rPr>
        <w:t>op j</w:t>
      </w:r>
      <w:r w:rsidR="009F2CE4" w:rsidRPr="00DF76C3">
        <w:rPr>
          <w:rFonts w:ascii="Times New Roman" w:hAnsi="Times New Roman" w:cs="Times New Roman"/>
          <w:sz w:val="20"/>
          <w:szCs w:val="20"/>
        </w:rPr>
        <w:t>e</w:t>
      </w:r>
      <w:r w:rsidRPr="00DF76C3">
        <w:rPr>
          <w:rFonts w:ascii="Times New Roman" w:hAnsi="Times New Roman" w:cs="Times New Roman"/>
          <w:sz w:val="20"/>
          <w:szCs w:val="20"/>
        </w:rPr>
        <w:t xml:space="preserve"> (stage)school in gebruik is.</w:t>
      </w:r>
    </w:p>
    <w:p w:rsidR="004F3E9E" w:rsidRPr="00DF76C3" w:rsidRDefault="000929E9" w:rsidP="00820B9B">
      <w:pPr>
        <w:pStyle w:val="Lijstalinea"/>
        <w:numPr>
          <w:ilvl w:val="0"/>
          <w:numId w:val="2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 xml:space="preserve">Bedenk/zoek voor dat hoofdstuk een </w:t>
      </w:r>
      <w:r w:rsidR="00820B9B" w:rsidRPr="00DF76C3">
        <w:rPr>
          <w:rFonts w:ascii="Times New Roman" w:hAnsi="Times New Roman" w:cs="Times New Roman"/>
          <w:sz w:val="20"/>
          <w:szCs w:val="20"/>
        </w:rPr>
        <w:t xml:space="preserve">hoofdstukvraag voor de inleidende paragraaf, een instapprobleem, paragraafvragen, kernbegrippen, </w:t>
      </w:r>
      <w:proofErr w:type="spellStart"/>
      <w:r w:rsidR="00820B9B" w:rsidRPr="00DF76C3">
        <w:rPr>
          <w:rFonts w:ascii="Times New Roman" w:hAnsi="Times New Roman" w:cs="Times New Roman"/>
          <w:sz w:val="20"/>
          <w:szCs w:val="20"/>
        </w:rPr>
        <w:t>oefen</w:t>
      </w:r>
      <w:r w:rsidR="00DF76C3">
        <w:rPr>
          <w:rFonts w:ascii="Times New Roman" w:hAnsi="Times New Roman" w:cs="Times New Roman"/>
          <w:sz w:val="20"/>
          <w:szCs w:val="20"/>
        </w:rPr>
        <w:softHyphen/>
      </w:r>
      <w:r w:rsidR="00820B9B" w:rsidRPr="00DF76C3">
        <w:rPr>
          <w:rFonts w:ascii="Times New Roman" w:hAnsi="Times New Roman" w:cs="Times New Roman"/>
          <w:sz w:val="20"/>
          <w:szCs w:val="20"/>
        </w:rPr>
        <w:t>opdrachten</w:t>
      </w:r>
      <w:proofErr w:type="spellEnd"/>
      <w:r w:rsidR="00820B9B" w:rsidRPr="00DF76C3">
        <w:rPr>
          <w:rFonts w:ascii="Times New Roman" w:hAnsi="Times New Roman" w:cs="Times New Roman"/>
          <w:sz w:val="20"/>
          <w:szCs w:val="20"/>
        </w:rPr>
        <w:t xml:space="preserve"> en een toepassingsprobleem voor de daarop volgende </w:t>
      </w:r>
      <w:proofErr w:type="spellStart"/>
      <w:r w:rsidR="00820B9B" w:rsidRPr="00DF76C3">
        <w:rPr>
          <w:rFonts w:ascii="Times New Roman" w:hAnsi="Times New Roman" w:cs="Times New Roman"/>
          <w:sz w:val="20"/>
          <w:szCs w:val="20"/>
        </w:rPr>
        <w:t>leerstof</w:t>
      </w:r>
      <w:r w:rsidR="00DF76C3">
        <w:rPr>
          <w:rFonts w:ascii="Times New Roman" w:hAnsi="Times New Roman" w:cs="Times New Roman"/>
          <w:sz w:val="20"/>
          <w:szCs w:val="20"/>
        </w:rPr>
        <w:softHyphen/>
      </w:r>
      <w:r w:rsidR="00820B9B" w:rsidRPr="00DF76C3">
        <w:rPr>
          <w:rFonts w:ascii="Times New Roman" w:hAnsi="Times New Roman" w:cs="Times New Roman"/>
          <w:sz w:val="20"/>
          <w:szCs w:val="20"/>
        </w:rPr>
        <w:t>paragrafen</w:t>
      </w:r>
      <w:proofErr w:type="spellEnd"/>
      <w:r w:rsidR="00820B9B" w:rsidRPr="00DF76C3">
        <w:rPr>
          <w:rFonts w:ascii="Times New Roman" w:hAnsi="Times New Roman" w:cs="Times New Roman"/>
          <w:sz w:val="20"/>
          <w:szCs w:val="20"/>
        </w:rPr>
        <w:t xml:space="preserve">, en een samenvatting en </w:t>
      </w:r>
      <w:proofErr w:type="spellStart"/>
      <w:r w:rsidR="00820B9B" w:rsidRPr="00DF76C3">
        <w:rPr>
          <w:rFonts w:ascii="Times New Roman" w:hAnsi="Times New Roman" w:cs="Times New Roman"/>
          <w:sz w:val="20"/>
          <w:szCs w:val="20"/>
        </w:rPr>
        <w:t>toetsvoorbereiding</w:t>
      </w:r>
      <w:proofErr w:type="spellEnd"/>
      <w:r w:rsidR="00820B9B" w:rsidRPr="00DF76C3">
        <w:rPr>
          <w:rFonts w:ascii="Times New Roman" w:hAnsi="Times New Roman" w:cs="Times New Roman"/>
          <w:sz w:val="20"/>
          <w:szCs w:val="20"/>
        </w:rPr>
        <w:t xml:space="preserve"> voor de afsluitende paragraaf. </w:t>
      </w:r>
    </w:p>
    <w:p w:rsidR="004F3E9E" w:rsidRPr="00DF76C3" w:rsidRDefault="00A47BEF" w:rsidP="00820B9B">
      <w:pPr>
        <w:pStyle w:val="Lijstalinea"/>
        <w:numPr>
          <w:ilvl w:val="0"/>
          <w:numId w:val="2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 xml:space="preserve">Ontwerp een lessenplan voor de het betreffende hoofdstuk, waarvan de </w:t>
      </w:r>
      <w:r w:rsidR="00820B9B" w:rsidRPr="00DF76C3">
        <w:rPr>
          <w:rFonts w:ascii="Times New Roman" w:hAnsi="Times New Roman" w:cs="Times New Roman"/>
          <w:sz w:val="20"/>
          <w:szCs w:val="20"/>
        </w:rPr>
        <w:t>bij</w:t>
      </w:r>
      <w:r w:rsidR="004012E2" w:rsidRPr="00DF76C3">
        <w:rPr>
          <w:rFonts w:ascii="Times New Roman" w:hAnsi="Times New Roman" w:cs="Times New Roman"/>
          <w:sz w:val="20"/>
          <w:szCs w:val="20"/>
        </w:rPr>
        <w:t xml:space="preserve"> opdracht </w:t>
      </w:r>
      <w:r w:rsidR="004012E2" w:rsidRPr="00DF76C3">
        <w:rPr>
          <w:rFonts w:ascii="Times New Roman" w:hAnsi="Times New Roman" w:cs="Times New Roman"/>
          <w:b/>
          <w:sz w:val="20"/>
          <w:szCs w:val="20"/>
        </w:rPr>
        <w:t>2</w:t>
      </w:r>
      <w:r w:rsidR="00820B9B" w:rsidRPr="00DF76C3">
        <w:rPr>
          <w:rFonts w:ascii="Times New Roman" w:hAnsi="Times New Roman" w:cs="Times New Roman"/>
          <w:b/>
          <w:sz w:val="20"/>
          <w:szCs w:val="20"/>
        </w:rPr>
        <w:t>a</w:t>
      </w:r>
      <w:r w:rsidR="00820B9B" w:rsidRPr="00DF76C3">
        <w:rPr>
          <w:rFonts w:ascii="Times New Roman" w:hAnsi="Times New Roman" w:cs="Times New Roman"/>
          <w:sz w:val="20"/>
          <w:szCs w:val="20"/>
        </w:rPr>
        <w:t xml:space="preserve"> bedachte bouwstenen</w:t>
      </w:r>
      <w:r w:rsidRPr="00DF76C3">
        <w:rPr>
          <w:rFonts w:ascii="Times New Roman" w:hAnsi="Times New Roman" w:cs="Times New Roman"/>
          <w:sz w:val="20"/>
          <w:szCs w:val="20"/>
        </w:rPr>
        <w:t xml:space="preserve"> een onderdeel vorm</w:t>
      </w:r>
      <w:r w:rsidR="00820B9B" w:rsidRPr="00DF76C3">
        <w:rPr>
          <w:rFonts w:ascii="Times New Roman" w:hAnsi="Times New Roman" w:cs="Times New Roman"/>
          <w:sz w:val="20"/>
          <w:szCs w:val="20"/>
        </w:rPr>
        <w:t>en</w:t>
      </w:r>
      <w:r w:rsidRPr="00DF76C3">
        <w:rPr>
          <w:rFonts w:ascii="Times New Roman" w:hAnsi="Times New Roman" w:cs="Times New Roman"/>
          <w:sz w:val="20"/>
          <w:szCs w:val="20"/>
        </w:rPr>
        <w:t>.</w:t>
      </w:r>
      <w:r w:rsidR="004F3E9E" w:rsidRPr="00DF76C3">
        <w:rPr>
          <w:rFonts w:ascii="Times New Roman" w:hAnsi="Times New Roman" w:cs="Times New Roman"/>
          <w:sz w:val="20"/>
          <w:szCs w:val="20"/>
        </w:rPr>
        <w:t xml:space="preserve"> </w:t>
      </w:r>
      <w:r w:rsidR="00820B9B" w:rsidRPr="00DF76C3">
        <w:rPr>
          <w:rFonts w:ascii="Times New Roman" w:hAnsi="Times New Roman" w:cs="Times New Roman"/>
          <w:sz w:val="20"/>
          <w:szCs w:val="20"/>
        </w:rPr>
        <w:t>Bedenk daarbij door welke kleine of iets grotere</w:t>
      </w:r>
      <w:r w:rsidRPr="00DF76C3">
        <w:rPr>
          <w:rFonts w:ascii="Times New Roman" w:hAnsi="Times New Roman" w:cs="Times New Roman"/>
          <w:sz w:val="20"/>
          <w:szCs w:val="20"/>
        </w:rPr>
        <w:t xml:space="preserve"> aanpassingen in de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selectie van de leerstof en/of de</w:t>
      </w:r>
      <w:r w:rsidRPr="00DF76C3">
        <w:rPr>
          <w:rFonts w:ascii="Times New Roman" w:hAnsi="Times New Roman" w:cs="Times New Roman"/>
          <w:sz w:val="20"/>
          <w:szCs w:val="20"/>
        </w:rPr>
        <w:t xml:space="preserve"> volgorde van de leerstofopbouw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 in het hoofdstuk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er voor leerlingen meer lijn en samenhang</w:t>
      </w:r>
      <w:r w:rsidR="00820B9B" w:rsidRPr="00DF76C3">
        <w:rPr>
          <w:rFonts w:ascii="Times New Roman" w:hAnsi="Times New Roman" w:cs="Times New Roman"/>
          <w:sz w:val="20"/>
          <w:szCs w:val="20"/>
        </w:rPr>
        <w:t xml:space="preserve"> zal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ontstaan</w:t>
      </w:r>
      <w:r w:rsidR="00820B9B" w:rsidRPr="00DF76C3">
        <w:rPr>
          <w:rFonts w:ascii="Times New Roman" w:hAnsi="Times New Roman" w:cs="Times New Roman"/>
          <w:sz w:val="20"/>
          <w:szCs w:val="20"/>
        </w:rPr>
        <w:t>.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Daarbij kunnen de volgende drie vragen helpen om je meer in de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 positie van de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leerlingen te verplaatsen:</w:t>
      </w:r>
    </w:p>
    <w:p w:rsidR="004F3E9E" w:rsidRPr="00DF76C3" w:rsidRDefault="00871C4C" w:rsidP="00DF76C3">
      <w:pPr>
        <w:pStyle w:val="Lijstalinea"/>
        <w:numPr>
          <w:ilvl w:val="0"/>
          <w:numId w:val="9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 xml:space="preserve">Bereidt een bepaalde activiteit (of 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een </w:t>
      </w:r>
      <w:r w:rsidRPr="00DF76C3">
        <w:rPr>
          <w:rFonts w:ascii="Times New Roman" w:hAnsi="Times New Roman" w:cs="Times New Roman"/>
          <w:sz w:val="20"/>
          <w:szCs w:val="20"/>
        </w:rPr>
        <w:t>opdracht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 of</w:t>
      </w:r>
      <w:r w:rsidRPr="00DF76C3">
        <w:rPr>
          <w:rFonts w:ascii="Times New Roman" w:hAnsi="Times New Roman" w:cs="Times New Roman"/>
          <w:sz w:val="20"/>
          <w:szCs w:val="20"/>
        </w:rPr>
        <w:t xml:space="preserve"> vraag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 binnen die activiteit</w:t>
      </w:r>
      <w:r w:rsidRPr="00DF76C3">
        <w:rPr>
          <w:rFonts w:ascii="Times New Roman" w:hAnsi="Times New Roman" w:cs="Times New Roman"/>
          <w:sz w:val="20"/>
          <w:szCs w:val="20"/>
        </w:rPr>
        <w:t>) hen voor op een volgende activiteit?</w:t>
      </w:r>
    </w:p>
    <w:p w:rsidR="00871C4C" w:rsidRPr="00DF76C3" w:rsidRDefault="00820B9B" w:rsidP="00DF76C3">
      <w:pPr>
        <w:pStyle w:val="Lijstalinea"/>
        <w:numPr>
          <w:ilvl w:val="0"/>
          <w:numId w:val="9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DF76C3">
        <w:rPr>
          <w:b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66E6" wp14:editId="1B63737A">
                <wp:simplePos x="0" y="0"/>
                <wp:positionH relativeFrom="column">
                  <wp:posOffset>-1990090</wp:posOffset>
                </wp:positionH>
                <wp:positionV relativeFrom="paragraph">
                  <wp:posOffset>180670</wp:posOffset>
                </wp:positionV>
                <wp:extent cx="1799590" cy="1403985"/>
                <wp:effectExtent l="0" t="0" r="10160" b="107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EF" w:rsidRPr="00DF76C3" w:rsidRDefault="00A47BEF" w:rsidP="00A47B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76C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</w:t>
                            </w:r>
                            <w:r w:rsidR="005C41F4" w:rsidRPr="00DF76C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en evalueren</w:t>
                            </w:r>
                          </w:p>
                          <w:p w:rsidR="00A47BEF" w:rsidRPr="00DF76C3" w:rsidRDefault="00A47BEF" w:rsidP="00A47BE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het ontworpen </w:t>
                            </w:r>
                            <w:proofErr w:type="spellStart"/>
                            <w:r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les</w:t>
                            </w:r>
                            <w:r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senplan</w:t>
                            </w:r>
                            <w:proofErr w:type="spellEnd"/>
                            <w:r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bijstelling – </w:t>
                            </w:r>
                            <w:r w:rsid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uitwerken, </w:t>
                            </w:r>
                            <w:r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uitvoeren</w:t>
                            </w:r>
                            <w:r w:rsidR="005C41F4"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evalueren</w:t>
                            </w:r>
                            <w:r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als dat te zijner tijd op je (stage)</w:t>
                            </w:r>
                            <w:r w:rsidRPr="00DF76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7pt;margin-top:14.25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">
                <v:textbox style="mso-fit-shape-to-text:t" inset="1mm,1mm,1mm,1mm">
                  <w:txbxContent>
                    <w:p w:rsidR="00A47BEF" w:rsidRPr="00DF76C3" w:rsidRDefault="00A47BEF" w:rsidP="00A47BE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F76C3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</w:t>
                      </w:r>
                      <w:r w:rsidR="005C41F4" w:rsidRPr="00DF76C3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en evalueren</w:t>
                      </w:r>
                    </w:p>
                    <w:p w:rsidR="00A47BEF" w:rsidRPr="00DF76C3" w:rsidRDefault="00A47BEF" w:rsidP="00A47BE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het ontworpen </w:t>
                      </w:r>
                      <w:proofErr w:type="spellStart"/>
                      <w:r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les</w:t>
                      </w:r>
                      <w:r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senplan</w:t>
                      </w:r>
                      <w:proofErr w:type="spellEnd"/>
                      <w:r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bijstelling – </w:t>
                      </w:r>
                      <w:r w:rsid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uitwerken, </w:t>
                      </w:r>
                      <w:r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uitvoeren</w:t>
                      </w:r>
                      <w:r w:rsidR="005C41F4"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evalueren</w:t>
                      </w:r>
                      <w:r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als dat te zijner tijd op je (stage)</w:t>
                      </w:r>
                      <w:r w:rsidRPr="00DF76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Kan het hen uit </w:t>
      </w:r>
      <w:r w:rsidR="00263D66" w:rsidRPr="00DF76C3">
        <w:rPr>
          <w:rFonts w:ascii="Times New Roman" w:hAnsi="Times New Roman" w:cs="Times New Roman"/>
          <w:sz w:val="20"/>
          <w:szCs w:val="20"/>
        </w:rPr>
        <w:t>de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voorgaande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 activiteiten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duidelijk zijn waarom een activiteit (of 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een </w:t>
      </w:r>
      <w:r w:rsidR="00871C4C" w:rsidRPr="00DF76C3">
        <w:rPr>
          <w:rFonts w:ascii="Times New Roman" w:hAnsi="Times New Roman" w:cs="Times New Roman"/>
          <w:sz w:val="20"/>
          <w:szCs w:val="20"/>
        </w:rPr>
        <w:t>opdracht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 of</w:t>
      </w:r>
      <w:r w:rsidR="00871C4C" w:rsidRPr="00DF76C3">
        <w:rPr>
          <w:rFonts w:ascii="Times New Roman" w:hAnsi="Times New Roman" w:cs="Times New Roman"/>
          <w:sz w:val="20"/>
          <w:szCs w:val="20"/>
        </w:rPr>
        <w:t xml:space="preserve"> vraag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 binnen die activiteit</w:t>
      </w:r>
      <w:r w:rsidR="00871C4C" w:rsidRPr="00DF76C3">
        <w:rPr>
          <w:rFonts w:ascii="Times New Roman" w:hAnsi="Times New Roman" w:cs="Times New Roman"/>
          <w:sz w:val="20"/>
          <w:szCs w:val="20"/>
        </w:rPr>
        <w:t>) gedaan wordt?</w:t>
      </w:r>
    </w:p>
    <w:p w:rsidR="00871C4C" w:rsidRPr="00DF76C3" w:rsidRDefault="00871C4C" w:rsidP="00DF76C3">
      <w:pPr>
        <w:pStyle w:val="Lijstalinea"/>
        <w:numPr>
          <w:ilvl w:val="0"/>
          <w:numId w:val="9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 xml:space="preserve">Wat zullen leerlingen bij een activiteit zelf naar voren brengen, en welke vragen zouden </w:t>
      </w:r>
      <w:r w:rsidR="00961332" w:rsidRPr="00DF76C3">
        <w:rPr>
          <w:rFonts w:ascii="Times New Roman" w:hAnsi="Times New Roman" w:cs="Times New Roman"/>
          <w:sz w:val="20"/>
          <w:szCs w:val="20"/>
        </w:rPr>
        <w:t>er</w:t>
      </w:r>
      <w:r w:rsidRPr="00DF76C3">
        <w:rPr>
          <w:rFonts w:ascii="Times New Roman" w:hAnsi="Times New Roman" w:cs="Times New Roman"/>
          <w:sz w:val="20"/>
          <w:szCs w:val="20"/>
        </w:rPr>
        <w:t xml:space="preserve"> bij en na de activiteit</w:t>
      </w:r>
      <w:r w:rsidR="00961332" w:rsidRPr="00DF76C3">
        <w:rPr>
          <w:rFonts w:ascii="Times New Roman" w:hAnsi="Times New Roman" w:cs="Times New Roman"/>
          <w:sz w:val="20"/>
          <w:szCs w:val="20"/>
        </w:rPr>
        <w:t xml:space="preserve"> bij hen opkomen?</w:t>
      </w:r>
    </w:p>
    <w:p w:rsidR="00871C4C" w:rsidRPr="00DF76C3" w:rsidRDefault="00871C4C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5C41F4" w:rsidRPr="00DF76C3" w:rsidRDefault="005C41F4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sz w:val="20"/>
          <w:szCs w:val="20"/>
        </w:rPr>
        <w:t>3</w:t>
      </w:r>
      <w:r w:rsidRPr="00DF76C3">
        <w:rPr>
          <w:rFonts w:ascii="Times New Roman" w:hAnsi="Times New Roman" w:cs="Times New Roman"/>
          <w:b/>
          <w:sz w:val="20"/>
          <w:szCs w:val="20"/>
        </w:rPr>
        <w:tab/>
      </w:r>
      <w:r w:rsidRPr="00DF76C3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5C41F4" w:rsidRPr="00DF76C3" w:rsidRDefault="005C41F4" w:rsidP="005C41F4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ab/>
        <w:t xml:space="preserve">Wissel je ervaringen met het ontwerpen van de bouwstenen voor </w:t>
      </w:r>
      <w:proofErr w:type="spellStart"/>
      <w:r w:rsidRPr="00DF76C3">
        <w:rPr>
          <w:rFonts w:ascii="Times New Roman" w:hAnsi="Times New Roman" w:cs="Times New Roman"/>
          <w:sz w:val="20"/>
          <w:szCs w:val="20"/>
        </w:rPr>
        <w:t>probleem</w:t>
      </w:r>
      <w:r w:rsidRPr="00DF76C3">
        <w:rPr>
          <w:rFonts w:ascii="Times New Roman" w:hAnsi="Times New Roman" w:cs="Times New Roman"/>
          <w:sz w:val="20"/>
          <w:szCs w:val="20"/>
        </w:rPr>
        <w:softHyphen/>
        <w:t>georiënteerd</w:t>
      </w:r>
      <w:proofErr w:type="spellEnd"/>
      <w:r w:rsidRPr="00DF76C3">
        <w:rPr>
          <w:rFonts w:ascii="Times New Roman" w:hAnsi="Times New Roman" w:cs="Times New Roman"/>
          <w:sz w:val="20"/>
          <w:szCs w:val="20"/>
        </w:rPr>
        <w:t xml:space="preserve"> leren en het lessenplan bij opdracht </w:t>
      </w:r>
      <w:r w:rsidRPr="00DF76C3">
        <w:rPr>
          <w:rFonts w:ascii="Times New Roman" w:hAnsi="Times New Roman" w:cs="Times New Roman"/>
          <w:b/>
          <w:sz w:val="20"/>
          <w:szCs w:val="20"/>
        </w:rPr>
        <w:t>2</w:t>
      </w:r>
      <w:r w:rsidRPr="00DF76C3">
        <w:rPr>
          <w:rFonts w:ascii="Times New Roman" w:hAnsi="Times New Roman" w:cs="Times New Roman"/>
          <w:sz w:val="20"/>
          <w:szCs w:val="20"/>
        </w:rPr>
        <w:t xml:space="preserve"> onderling uit. Bespreek wat er lastig was en wat er nog voor verbetering vatbaar is: wat kan er hoe anders, en mogelijk beter?</w:t>
      </w:r>
    </w:p>
    <w:p w:rsidR="005C41F4" w:rsidRPr="00DF76C3" w:rsidRDefault="005C41F4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4F3E9E" w:rsidRPr="00DF76C3" w:rsidRDefault="005C41F4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AC11FA" w:rsidRPr="00DF76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F3E9E" w:rsidRPr="00DF76C3">
        <w:rPr>
          <w:rFonts w:ascii="Times New Roman" w:hAnsi="Times New Roman" w:cs="Times New Roman"/>
          <w:b/>
          <w:color w:val="0070C0"/>
          <w:sz w:val="20"/>
          <w:szCs w:val="20"/>
        </w:rPr>
        <w:t>Verdiepen</w:t>
      </w:r>
    </w:p>
    <w:p w:rsidR="00AC11FA" w:rsidRPr="00DF76C3" w:rsidRDefault="00AC11FA" w:rsidP="00AC11FA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ab/>
      </w:r>
      <w:r w:rsidR="004F3E9E" w:rsidRPr="00DF76C3">
        <w:rPr>
          <w:rFonts w:ascii="Times New Roman" w:hAnsi="Times New Roman" w:cs="Times New Roman"/>
          <w:sz w:val="20"/>
          <w:szCs w:val="20"/>
        </w:rPr>
        <w:t>In</w:t>
      </w:r>
      <w:r w:rsidR="00AF15DE" w:rsidRPr="00DF76C3">
        <w:rPr>
          <w:rFonts w:ascii="Times New Roman" w:hAnsi="Times New Roman" w:cs="Times New Roman"/>
          <w:sz w:val="20"/>
          <w:szCs w:val="20"/>
        </w:rPr>
        <w:t xml:space="preserve"> hoofdstuk 11 van het boek </w:t>
      </w:r>
      <w:r w:rsidR="00AF15DE" w:rsidRPr="00DF76C3">
        <w:rPr>
          <w:rFonts w:ascii="Times New Roman" w:hAnsi="Times New Roman" w:cs="Times New Roman"/>
          <w:i/>
          <w:sz w:val="20"/>
          <w:szCs w:val="20"/>
        </w:rPr>
        <w:t>Omzien in verwarring</w:t>
      </w:r>
      <w:r w:rsidR="00AF15DE" w:rsidRPr="00DF76C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F15DE" w:rsidRPr="00DF76C3">
        <w:rPr>
          <w:rFonts w:ascii="Times New Roman" w:hAnsi="Times New Roman" w:cs="Times New Roman"/>
          <w:sz w:val="20"/>
          <w:szCs w:val="20"/>
        </w:rPr>
        <w:t>Lijnse</w:t>
      </w:r>
      <w:proofErr w:type="spellEnd"/>
      <w:r w:rsidR="00AF15DE" w:rsidRPr="00DF76C3">
        <w:rPr>
          <w:rFonts w:ascii="Times New Roman" w:hAnsi="Times New Roman" w:cs="Times New Roman"/>
          <w:sz w:val="20"/>
          <w:szCs w:val="20"/>
        </w:rPr>
        <w:t xml:space="preserve">, 2014) staat een uitgebreide bespreking van de probleemstellende benadering. Op de website </w:t>
      </w:r>
      <w:hyperlink r:id="rId7" w:history="1">
        <w:r w:rsidR="00AF15DE" w:rsidRPr="00DF76C3">
          <w:rPr>
            <w:rStyle w:val="Hyperlink"/>
            <w:rFonts w:ascii="Times New Roman" w:hAnsi="Times New Roman" w:cs="Times New Roman"/>
            <w:sz w:val="20"/>
            <w:szCs w:val="20"/>
          </w:rPr>
          <w:t>www.fisme.s</w:t>
        </w:r>
        <w:r w:rsidR="00AF15DE" w:rsidRPr="00DF76C3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="00AF15DE" w:rsidRPr="00DF76C3">
          <w:rPr>
            <w:rStyle w:val="Hyperlink"/>
            <w:rFonts w:ascii="Times New Roman" w:hAnsi="Times New Roman" w:cs="Times New Roman"/>
            <w:sz w:val="20"/>
            <w:szCs w:val="20"/>
          </w:rPr>
          <w:t>ience.uu.nl</w:t>
        </w:r>
      </w:hyperlink>
      <w:r w:rsidR="00AF15DE" w:rsidRPr="00DF76C3">
        <w:rPr>
          <w:rFonts w:ascii="Times New Roman" w:hAnsi="Times New Roman" w:cs="Times New Roman"/>
          <w:sz w:val="20"/>
          <w:szCs w:val="20"/>
        </w:rPr>
        <w:t xml:space="preserve"> van het Freudenthal Instituut is bovendien</w:t>
      </w:r>
      <w:r w:rsidR="009F2CE4" w:rsidRPr="00DF76C3">
        <w:rPr>
          <w:rFonts w:ascii="Times New Roman" w:hAnsi="Times New Roman" w:cs="Times New Roman"/>
          <w:sz w:val="20"/>
          <w:szCs w:val="20"/>
        </w:rPr>
        <w:t xml:space="preserve"> via onderwijs, leermiddelen en de zoekwoorden radioactiviteit en afval </w:t>
      </w:r>
      <w:r w:rsidR="00AF15DE" w:rsidRPr="00DF76C3">
        <w:rPr>
          <w:rFonts w:ascii="Times New Roman" w:hAnsi="Times New Roman" w:cs="Times New Roman"/>
          <w:sz w:val="20"/>
          <w:szCs w:val="20"/>
        </w:rPr>
        <w:t xml:space="preserve">een deel van het </w:t>
      </w:r>
      <w:r w:rsidR="00961332" w:rsidRPr="00DF76C3">
        <w:rPr>
          <w:rFonts w:ascii="Times New Roman" w:hAnsi="Times New Roman" w:cs="Times New Roman"/>
          <w:sz w:val="20"/>
          <w:szCs w:val="20"/>
        </w:rPr>
        <w:t>besproken</w:t>
      </w:r>
      <w:r w:rsidR="00AF15DE" w:rsidRPr="00DF76C3">
        <w:rPr>
          <w:rFonts w:ascii="Times New Roman" w:hAnsi="Times New Roman" w:cs="Times New Roman"/>
          <w:sz w:val="20"/>
          <w:szCs w:val="20"/>
        </w:rPr>
        <w:t xml:space="preserve"> lesmateriaal te vinden</w:t>
      </w:r>
      <w:r w:rsidR="009F2CE4" w:rsidRPr="00DF76C3">
        <w:rPr>
          <w:rFonts w:ascii="Times New Roman" w:hAnsi="Times New Roman" w:cs="Times New Roman"/>
          <w:sz w:val="20"/>
          <w:szCs w:val="20"/>
        </w:rPr>
        <w:t>.</w:t>
      </w:r>
      <w:r w:rsidR="004F3E9E" w:rsidRPr="00DF76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A5B" w:rsidRPr="00DF76C3" w:rsidRDefault="00961332" w:rsidP="00961332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 xml:space="preserve">Lees het genoemde hoofdstuk, en probeer </w:t>
      </w:r>
      <w:r w:rsidR="00263D66" w:rsidRPr="00DF76C3">
        <w:rPr>
          <w:rFonts w:ascii="Times New Roman" w:hAnsi="Times New Roman" w:cs="Times New Roman"/>
          <w:sz w:val="20"/>
          <w:szCs w:val="20"/>
        </w:rPr>
        <w:t>de</w:t>
      </w:r>
      <w:r w:rsidR="004012E2" w:rsidRPr="00DF76C3">
        <w:rPr>
          <w:rFonts w:ascii="Times New Roman" w:hAnsi="Times New Roman" w:cs="Times New Roman"/>
          <w:sz w:val="20"/>
          <w:szCs w:val="20"/>
        </w:rPr>
        <w:t xml:space="preserve"> daarin opgenomen </w:t>
      </w:r>
      <w:r w:rsidR="00263D66" w:rsidRPr="00DF76C3">
        <w:rPr>
          <w:rFonts w:ascii="Times New Roman" w:hAnsi="Times New Roman" w:cs="Times New Roman"/>
          <w:sz w:val="20"/>
          <w:szCs w:val="20"/>
        </w:rPr>
        <w:t xml:space="preserve">didactische fasering als </w:t>
      </w:r>
      <w:r w:rsidR="004012E2" w:rsidRPr="00DF76C3">
        <w:rPr>
          <w:rFonts w:ascii="Times New Roman" w:hAnsi="Times New Roman" w:cs="Times New Roman"/>
          <w:sz w:val="20"/>
          <w:szCs w:val="20"/>
        </w:rPr>
        <w:t>‘</w:t>
      </w:r>
      <w:r w:rsidRPr="00DF76C3">
        <w:rPr>
          <w:rFonts w:ascii="Times New Roman" w:hAnsi="Times New Roman" w:cs="Times New Roman"/>
          <w:sz w:val="20"/>
          <w:szCs w:val="20"/>
        </w:rPr>
        <w:t>ontwerpheuristiek</w:t>
      </w:r>
      <w:r w:rsidR="004012E2" w:rsidRPr="00DF76C3">
        <w:rPr>
          <w:rFonts w:ascii="Times New Roman" w:hAnsi="Times New Roman" w:cs="Times New Roman"/>
          <w:sz w:val="20"/>
          <w:szCs w:val="20"/>
        </w:rPr>
        <w:t>’</w:t>
      </w:r>
      <w:r w:rsidRPr="00DF76C3">
        <w:rPr>
          <w:rFonts w:ascii="Times New Roman" w:hAnsi="Times New Roman" w:cs="Times New Roman"/>
          <w:sz w:val="20"/>
          <w:szCs w:val="20"/>
        </w:rPr>
        <w:t xml:space="preserve"> voor probleemstellend onderwijs </w:t>
      </w:r>
      <w:r w:rsidR="00263D66" w:rsidRPr="00DF76C3">
        <w:rPr>
          <w:rFonts w:ascii="Times New Roman" w:hAnsi="Times New Roman" w:cs="Times New Roman"/>
          <w:sz w:val="20"/>
          <w:szCs w:val="20"/>
        </w:rPr>
        <w:t>bij elk</w:t>
      </w:r>
      <w:r w:rsidR="00AC5A5B" w:rsidRPr="00DF76C3">
        <w:rPr>
          <w:rFonts w:ascii="Times New Roman" w:hAnsi="Times New Roman" w:cs="Times New Roman"/>
          <w:sz w:val="20"/>
          <w:szCs w:val="20"/>
        </w:rPr>
        <w:t xml:space="preserve">e </w:t>
      </w:r>
      <w:r w:rsidR="00263D66" w:rsidRPr="00DF76C3">
        <w:rPr>
          <w:rFonts w:ascii="Times New Roman" w:hAnsi="Times New Roman" w:cs="Times New Roman"/>
          <w:sz w:val="20"/>
          <w:szCs w:val="20"/>
        </w:rPr>
        <w:t>fase aan te vullen met de verschillende soorten activiteiten</w:t>
      </w:r>
      <w:r w:rsidR="00AC5A5B" w:rsidRPr="00DF76C3">
        <w:rPr>
          <w:rFonts w:ascii="Times New Roman" w:hAnsi="Times New Roman" w:cs="Times New Roman"/>
          <w:sz w:val="20"/>
          <w:szCs w:val="20"/>
        </w:rPr>
        <w:t xml:space="preserve"> die in die fase voor gebruik in aanmerking komen. Je kunt je daarbij desge</w:t>
      </w:r>
      <w:r w:rsidR="00AC5A5B" w:rsidRPr="00DF76C3">
        <w:rPr>
          <w:rFonts w:ascii="Times New Roman" w:hAnsi="Times New Roman" w:cs="Times New Roman"/>
          <w:sz w:val="20"/>
          <w:szCs w:val="20"/>
        </w:rPr>
        <w:softHyphen/>
        <w:t>wenst beperken tot de eerste vier fasen.</w:t>
      </w:r>
    </w:p>
    <w:p w:rsidR="00AC11FA" w:rsidRPr="00DF76C3" w:rsidRDefault="00AC5A5B" w:rsidP="00AC5A5B">
      <w:pPr>
        <w:pStyle w:val="Lijstalinea"/>
        <w:tabs>
          <w:tab w:val="left" w:pos="340"/>
          <w:tab w:val="left" w:pos="68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t xml:space="preserve">Hierbij </w:t>
      </w:r>
      <w:r w:rsidR="009F2CE4" w:rsidRPr="00DF76C3">
        <w:rPr>
          <w:rFonts w:ascii="Times New Roman" w:hAnsi="Times New Roman" w:cs="Times New Roman"/>
          <w:sz w:val="20"/>
          <w:szCs w:val="20"/>
        </w:rPr>
        <w:t xml:space="preserve">kan alvast worden opgemerkt dat de lesmateriaalanalyse van opdracht </w:t>
      </w:r>
      <w:r w:rsidR="009F2CE4" w:rsidRPr="00DF76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3b</w:t>
      </w:r>
      <w:r w:rsidR="009F2CE4" w:rsidRPr="00DF76C3">
        <w:rPr>
          <w:rFonts w:ascii="Times New Roman" w:hAnsi="Times New Roman" w:cs="Times New Roman"/>
          <w:sz w:val="20"/>
          <w:szCs w:val="20"/>
        </w:rPr>
        <w:t xml:space="preserve"> kan leiden tot een aanscherping/uitbreiding van deze</w:t>
      </w:r>
      <w:r w:rsidRPr="00DF76C3">
        <w:rPr>
          <w:rFonts w:ascii="Times New Roman" w:hAnsi="Times New Roman" w:cs="Times New Roman"/>
          <w:sz w:val="20"/>
          <w:szCs w:val="20"/>
        </w:rPr>
        <w:t xml:space="preserve"> aanvulling op de ontwerp</w:t>
      </w:r>
      <w:r w:rsidR="009F2CE4" w:rsidRPr="00DF76C3">
        <w:rPr>
          <w:rFonts w:ascii="Times New Roman" w:hAnsi="Times New Roman" w:cs="Times New Roman"/>
          <w:sz w:val="20"/>
          <w:szCs w:val="20"/>
        </w:rPr>
        <w:t xml:space="preserve">heuristiek. </w:t>
      </w:r>
    </w:p>
    <w:p w:rsidR="00961332" w:rsidRPr="00DF76C3" w:rsidRDefault="00961332" w:rsidP="00961332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F76C3">
        <w:rPr>
          <w:rFonts w:ascii="Times New Roman" w:hAnsi="Times New Roman" w:cs="Times New Roman"/>
          <w:sz w:val="20"/>
          <w:szCs w:val="20"/>
        </w:rPr>
        <w:lastRenderedPageBreak/>
        <w:t xml:space="preserve">Analyseer </w:t>
      </w:r>
      <w:r w:rsidR="00390770" w:rsidRPr="00DF76C3">
        <w:rPr>
          <w:rFonts w:ascii="Times New Roman" w:hAnsi="Times New Roman" w:cs="Times New Roman"/>
          <w:sz w:val="20"/>
          <w:szCs w:val="20"/>
        </w:rPr>
        <w:t xml:space="preserve">met behulp van deze ontwerpheuristiek </w:t>
      </w:r>
      <w:r w:rsidRPr="00DF76C3">
        <w:rPr>
          <w:rFonts w:ascii="Times New Roman" w:hAnsi="Times New Roman" w:cs="Times New Roman"/>
          <w:sz w:val="20"/>
          <w:szCs w:val="20"/>
        </w:rPr>
        <w:t>een van de besproken les</w:t>
      </w:r>
      <w:r w:rsidR="00A72525">
        <w:rPr>
          <w:rFonts w:ascii="Times New Roman" w:hAnsi="Times New Roman" w:cs="Times New Roman"/>
          <w:sz w:val="20"/>
          <w:szCs w:val="20"/>
        </w:rPr>
        <w:softHyphen/>
      </w:r>
      <w:r w:rsidRPr="00DF76C3">
        <w:rPr>
          <w:rFonts w:ascii="Times New Roman" w:hAnsi="Times New Roman" w:cs="Times New Roman"/>
          <w:sz w:val="20"/>
          <w:szCs w:val="20"/>
        </w:rPr>
        <w:t>materialen, bijvoorbeeld ‘Radioactiviteit’ (Klaassen et al</w:t>
      </w:r>
      <w:proofErr w:type="gramStart"/>
      <w:r w:rsidRPr="00DF76C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F76C3">
        <w:rPr>
          <w:rFonts w:ascii="Times New Roman" w:hAnsi="Times New Roman" w:cs="Times New Roman"/>
          <w:sz w:val="20"/>
          <w:szCs w:val="20"/>
        </w:rPr>
        <w:t>, 1991) of ‘Verpak</w:t>
      </w:r>
      <w:r w:rsidR="00AC5A5B" w:rsidRPr="00DF76C3">
        <w:rPr>
          <w:rFonts w:ascii="Times New Roman" w:hAnsi="Times New Roman" w:cs="Times New Roman"/>
          <w:sz w:val="20"/>
          <w:szCs w:val="20"/>
        </w:rPr>
        <w:softHyphen/>
      </w:r>
      <w:r w:rsidRPr="00DF76C3">
        <w:rPr>
          <w:rFonts w:ascii="Times New Roman" w:hAnsi="Times New Roman" w:cs="Times New Roman"/>
          <w:sz w:val="20"/>
          <w:szCs w:val="20"/>
        </w:rPr>
        <w:t>kingsafval</w:t>
      </w:r>
      <w:r w:rsidR="000C6639" w:rsidRPr="00DF76C3">
        <w:rPr>
          <w:rFonts w:ascii="Times New Roman" w:hAnsi="Times New Roman" w:cs="Times New Roman"/>
          <w:sz w:val="20"/>
          <w:szCs w:val="20"/>
        </w:rPr>
        <w:t>: storten, verbranden en hergebruiken’ (Kortland &amp; Klaassen, 1996)</w:t>
      </w:r>
      <w:r w:rsidR="00390770" w:rsidRPr="00DF76C3">
        <w:rPr>
          <w:rFonts w:ascii="Times New Roman" w:hAnsi="Times New Roman" w:cs="Times New Roman"/>
          <w:sz w:val="20"/>
          <w:szCs w:val="20"/>
        </w:rPr>
        <w:t xml:space="preserve">: in hoeverre is de </w:t>
      </w:r>
      <w:r w:rsidR="00AC5A5B" w:rsidRPr="00DF76C3">
        <w:rPr>
          <w:rFonts w:ascii="Times New Roman" w:hAnsi="Times New Roman" w:cs="Times New Roman"/>
          <w:sz w:val="20"/>
          <w:szCs w:val="20"/>
        </w:rPr>
        <w:t xml:space="preserve">didactische </w:t>
      </w:r>
      <w:r w:rsidR="00390770" w:rsidRPr="00DF76C3">
        <w:rPr>
          <w:rFonts w:ascii="Times New Roman" w:hAnsi="Times New Roman" w:cs="Times New Roman"/>
          <w:sz w:val="20"/>
          <w:szCs w:val="20"/>
        </w:rPr>
        <w:t>fasering herkenbaar in het lesmateriaal, waar en hoe komen de opeenvolgende hoofd- en deelproblemen aan de orde, in hoeverre bouwen de opeen</w:t>
      </w:r>
      <w:r w:rsidR="00390770" w:rsidRPr="00DF76C3">
        <w:rPr>
          <w:rFonts w:ascii="Times New Roman" w:hAnsi="Times New Roman" w:cs="Times New Roman"/>
          <w:sz w:val="20"/>
          <w:szCs w:val="20"/>
        </w:rPr>
        <w:softHyphen/>
        <w:t>volgende activiteiten op elkaar voort en hoe wordt dat de leerlingen duidelijk?</w:t>
      </w:r>
    </w:p>
    <w:p w:rsidR="00AC11FA" w:rsidRPr="00DF76C3" w:rsidRDefault="00AC11FA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C11FA" w:rsidRPr="00DF76C3" w:rsidRDefault="00AC11FA" w:rsidP="004F3E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F76C3">
        <w:rPr>
          <w:rFonts w:ascii="Times New Roman" w:hAnsi="Times New Roman" w:cs="Times New Roman"/>
          <w:b/>
          <w:color w:val="0070C0"/>
          <w:sz w:val="20"/>
          <w:szCs w:val="20"/>
        </w:rPr>
        <w:t>Literatuur</w:t>
      </w:r>
    </w:p>
    <w:p w:rsidR="000C6639" w:rsidRPr="00A72525" w:rsidRDefault="000C6639" w:rsidP="000C0DEB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18"/>
          <w:szCs w:val="18"/>
        </w:rPr>
      </w:pPr>
      <w:r w:rsidRPr="00A72525">
        <w:rPr>
          <w:rFonts w:ascii="Times New Roman" w:hAnsi="Times New Roman" w:cs="Times New Roman"/>
          <w:sz w:val="18"/>
          <w:szCs w:val="18"/>
        </w:rPr>
        <w:t xml:space="preserve">Kortland, K. &amp; Klaassen, K. (1996). </w:t>
      </w:r>
      <w:r w:rsidRPr="00A72525">
        <w:rPr>
          <w:rFonts w:ascii="Times New Roman" w:hAnsi="Times New Roman" w:cs="Times New Roman"/>
          <w:i/>
          <w:sz w:val="18"/>
          <w:szCs w:val="18"/>
        </w:rPr>
        <w:t>Verpakkingsafval: storten, verbranden en hergebruiken</w:t>
      </w:r>
      <w:r w:rsidRPr="00A72525">
        <w:rPr>
          <w:rFonts w:ascii="Times New Roman" w:hAnsi="Times New Roman" w:cs="Times New Roman"/>
          <w:sz w:val="18"/>
          <w:szCs w:val="18"/>
        </w:rPr>
        <w:t>. Utrecht: CDβ.</w:t>
      </w:r>
    </w:p>
    <w:p w:rsidR="00AC11FA" w:rsidRPr="00A72525" w:rsidRDefault="00AC11FA" w:rsidP="000C0DEB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18"/>
          <w:szCs w:val="18"/>
        </w:rPr>
      </w:pPr>
      <w:r w:rsidRPr="00A72525">
        <w:rPr>
          <w:rFonts w:ascii="Times New Roman" w:hAnsi="Times New Roman" w:cs="Times New Roman"/>
          <w:sz w:val="18"/>
          <w:szCs w:val="18"/>
        </w:rPr>
        <w:t xml:space="preserve">Klaassen, K., Moerman, W. &amp; Janssen, </w:t>
      </w:r>
      <w:proofErr w:type="spellStart"/>
      <w:r w:rsidRPr="00A72525">
        <w:rPr>
          <w:rFonts w:ascii="Times New Roman" w:hAnsi="Times New Roman" w:cs="Times New Roman"/>
          <w:sz w:val="18"/>
          <w:szCs w:val="18"/>
        </w:rPr>
        <w:t>Ch</w:t>
      </w:r>
      <w:proofErr w:type="spellEnd"/>
      <w:r w:rsidRPr="00A72525">
        <w:rPr>
          <w:rFonts w:ascii="Times New Roman" w:hAnsi="Times New Roman" w:cs="Times New Roman"/>
          <w:sz w:val="18"/>
          <w:szCs w:val="18"/>
        </w:rPr>
        <w:t xml:space="preserve">. (1991). </w:t>
      </w:r>
      <w:r w:rsidRPr="00A72525">
        <w:rPr>
          <w:rFonts w:ascii="Times New Roman" w:hAnsi="Times New Roman" w:cs="Times New Roman"/>
          <w:i/>
          <w:sz w:val="18"/>
          <w:szCs w:val="18"/>
        </w:rPr>
        <w:t>Radioactiviteit</w:t>
      </w:r>
      <w:r w:rsidRPr="00A72525">
        <w:rPr>
          <w:rFonts w:ascii="Times New Roman" w:hAnsi="Times New Roman" w:cs="Times New Roman"/>
          <w:sz w:val="18"/>
          <w:szCs w:val="18"/>
        </w:rPr>
        <w:t>. Utrecht: CDβ.</w:t>
      </w:r>
    </w:p>
    <w:p w:rsidR="00AC11FA" w:rsidRPr="00A72525" w:rsidRDefault="00AC11FA" w:rsidP="00AC11FA">
      <w:pPr>
        <w:tabs>
          <w:tab w:val="left" w:pos="340"/>
        </w:tabs>
        <w:ind w:left="340" w:hanging="340"/>
        <w:rPr>
          <w:rFonts w:ascii="Times New Roman" w:hAnsi="Times New Roman" w:cs="Times New Roman"/>
          <w:sz w:val="18"/>
          <w:szCs w:val="18"/>
        </w:rPr>
      </w:pPr>
      <w:proofErr w:type="spellStart"/>
      <w:r w:rsidRPr="00A72525">
        <w:rPr>
          <w:rFonts w:ascii="Times New Roman" w:hAnsi="Times New Roman" w:cs="Times New Roman"/>
          <w:sz w:val="18"/>
          <w:szCs w:val="18"/>
        </w:rPr>
        <w:t>Lijnse</w:t>
      </w:r>
      <w:proofErr w:type="spellEnd"/>
      <w:r w:rsidRPr="00A72525">
        <w:rPr>
          <w:rFonts w:ascii="Times New Roman" w:hAnsi="Times New Roman" w:cs="Times New Roman"/>
          <w:sz w:val="18"/>
          <w:szCs w:val="18"/>
        </w:rPr>
        <w:t xml:space="preserve">, P.L. (2014). Utrechtse ‘oplossingen’: een probleemstellende aanpak. In P.L. </w:t>
      </w:r>
      <w:proofErr w:type="spellStart"/>
      <w:r w:rsidRPr="00A72525">
        <w:rPr>
          <w:rFonts w:ascii="Times New Roman" w:hAnsi="Times New Roman" w:cs="Times New Roman"/>
          <w:sz w:val="18"/>
          <w:szCs w:val="18"/>
        </w:rPr>
        <w:t>Lijnse</w:t>
      </w:r>
      <w:proofErr w:type="spellEnd"/>
      <w:r w:rsidRPr="00A72525">
        <w:rPr>
          <w:rFonts w:ascii="Times New Roman" w:hAnsi="Times New Roman" w:cs="Times New Roman"/>
          <w:sz w:val="18"/>
          <w:szCs w:val="18"/>
        </w:rPr>
        <w:t xml:space="preserve">, </w:t>
      </w:r>
      <w:r w:rsidRPr="00A72525">
        <w:rPr>
          <w:rFonts w:ascii="Times New Roman" w:hAnsi="Times New Roman" w:cs="Times New Roman"/>
          <w:i/>
          <w:sz w:val="18"/>
          <w:szCs w:val="18"/>
        </w:rPr>
        <w:t>Omzien in verwarring</w:t>
      </w:r>
      <w:r w:rsidRPr="00A72525">
        <w:rPr>
          <w:rFonts w:ascii="Times New Roman" w:hAnsi="Times New Roman" w:cs="Times New Roman"/>
          <w:sz w:val="18"/>
          <w:szCs w:val="18"/>
        </w:rPr>
        <w:t xml:space="preserve"> (pp. 451-477). Utrecht: Freudenthal Instituut.</w:t>
      </w:r>
    </w:p>
    <w:p w:rsidR="00B80466" w:rsidRPr="00DF76C3" w:rsidRDefault="00B80466" w:rsidP="00E87216">
      <w:pPr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80466" w:rsidRPr="00DF76C3" w:rsidSect="00544E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42562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A70E2"/>
    <w:multiLevelType w:val="hybridMultilevel"/>
    <w:tmpl w:val="D4D8DF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2167A05"/>
    <w:multiLevelType w:val="hybridMultilevel"/>
    <w:tmpl w:val="AB86B97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0E24"/>
    <w:multiLevelType w:val="hybridMultilevel"/>
    <w:tmpl w:val="EA2C18B0"/>
    <w:lvl w:ilvl="0" w:tplc="7598BB9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C4741"/>
    <w:multiLevelType w:val="hybridMultilevel"/>
    <w:tmpl w:val="94C48BAA"/>
    <w:lvl w:ilvl="0" w:tplc="90B03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34B8"/>
    <w:multiLevelType w:val="hybridMultilevel"/>
    <w:tmpl w:val="8562A1D6"/>
    <w:lvl w:ilvl="0" w:tplc="FDD46E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16E"/>
    <w:rsid w:val="0006143E"/>
    <w:rsid w:val="000853D4"/>
    <w:rsid w:val="000929E9"/>
    <w:rsid w:val="00092B4D"/>
    <w:rsid w:val="000C0DEB"/>
    <w:rsid w:val="000C6639"/>
    <w:rsid w:val="001127D7"/>
    <w:rsid w:val="00161467"/>
    <w:rsid w:val="00201ABA"/>
    <w:rsid w:val="00204874"/>
    <w:rsid w:val="00220A21"/>
    <w:rsid w:val="002267A6"/>
    <w:rsid w:val="00263D66"/>
    <w:rsid w:val="002D2C0F"/>
    <w:rsid w:val="002D431E"/>
    <w:rsid w:val="00390770"/>
    <w:rsid w:val="004012E2"/>
    <w:rsid w:val="004168F1"/>
    <w:rsid w:val="00461C1C"/>
    <w:rsid w:val="004F3E9E"/>
    <w:rsid w:val="005015CD"/>
    <w:rsid w:val="0050726C"/>
    <w:rsid w:val="0052215B"/>
    <w:rsid w:val="0053128E"/>
    <w:rsid w:val="00535542"/>
    <w:rsid w:val="00544ECA"/>
    <w:rsid w:val="005C41F4"/>
    <w:rsid w:val="00624A0D"/>
    <w:rsid w:val="006D1479"/>
    <w:rsid w:val="006F3A73"/>
    <w:rsid w:val="00734FCD"/>
    <w:rsid w:val="007521C9"/>
    <w:rsid w:val="00767F45"/>
    <w:rsid w:val="007A0BF5"/>
    <w:rsid w:val="007A288F"/>
    <w:rsid w:val="007D76AC"/>
    <w:rsid w:val="007E0AB0"/>
    <w:rsid w:val="00820B9B"/>
    <w:rsid w:val="00857AA2"/>
    <w:rsid w:val="00871C4C"/>
    <w:rsid w:val="008747E8"/>
    <w:rsid w:val="00881235"/>
    <w:rsid w:val="008F7FAA"/>
    <w:rsid w:val="00956895"/>
    <w:rsid w:val="00961332"/>
    <w:rsid w:val="0099192B"/>
    <w:rsid w:val="00992FF3"/>
    <w:rsid w:val="009B6885"/>
    <w:rsid w:val="009C16F5"/>
    <w:rsid w:val="009F2CE4"/>
    <w:rsid w:val="00A04E76"/>
    <w:rsid w:val="00A17BFA"/>
    <w:rsid w:val="00A3783A"/>
    <w:rsid w:val="00A47BEF"/>
    <w:rsid w:val="00A6010E"/>
    <w:rsid w:val="00A72525"/>
    <w:rsid w:val="00AC11FA"/>
    <w:rsid w:val="00AC5A5B"/>
    <w:rsid w:val="00AD0CB3"/>
    <w:rsid w:val="00AE0F24"/>
    <w:rsid w:val="00AF15DE"/>
    <w:rsid w:val="00B11AF4"/>
    <w:rsid w:val="00B80466"/>
    <w:rsid w:val="00C43622"/>
    <w:rsid w:val="00C46AF0"/>
    <w:rsid w:val="00C501DF"/>
    <w:rsid w:val="00CB786B"/>
    <w:rsid w:val="00D76D51"/>
    <w:rsid w:val="00DA7842"/>
    <w:rsid w:val="00DF76C3"/>
    <w:rsid w:val="00E87216"/>
    <w:rsid w:val="00E97FE3"/>
    <w:rsid w:val="00ED023E"/>
    <w:rsid w:val="00EF7313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192B"/>
    <w:rPr>
      <w:color w:val="800080" w:themeColor="followedHyperlink"/>
      <w:u w:val="single"/>
    </w:rPr>
  </w:style>
  <w:style w:type="paragraph" w:styleId="Lijstopsomteken">
    <w:name w:val="List Bullet"/>
    <w:basedOn w:val="Standaard"/>
    <w:uiPriority w:val="99"/>
    <w:unhideWhenUsed/>
    <w:rsid w:val="00A6010E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192B"/>
    <w:rPr>
      <w:color w:val="800080" w:themeColor="followedHyperlink"/>
      <w:u w:val="single"/>
    </w:rPr>
  </w:style>
  <w:style w:type="paragraph" w:styleId="Lijstopsomteken">
    <w:name w:val="List Bullet"/>
    <w:basedOn w:val="Standaard"/>
    <w:uiPriority w:val="99"/>
    <w:unhideWhenUsed/>
    <w:rsid w:val="00A6010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sme.science.uu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C70-63F7-4923-BFDC-8F4285C2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2017-02-14T12:45:00Z</dcterms:created>
  <dcterms:modified xsi:type="dcterms:W3CDTF">2017-02-14T12:45:00Z</dcterms:modified>
</cp:coreProperties>
</file>